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ED002" w14:textId="7CB9CBAD" w:rsidR="000E11BE" w:rsidRPr="004550C6" w:rsidRDefault="004550C6">
      <w:pPr>
        <w:spacing w:before="5" w:line="200" w:lineRule="exact"/>
        <w:rPr>
          <w:sz w:val="24"/>
          <w:szCs w:val="24"/>
        </w:rPr>
      </w:pPr>
      <w:r w:rsidRPr="004550C6">
        <w:rPr>
          <w:sz w:val="24"/>
          <w:szCs w:val="24"/>
        </w:rPr>
        <w:t xml:space="preserve">February </w:t>
      </w:r>
      <w:r w:rsidR="00DB004D">
        <w:rPr>
          <w:sz w:val="24"/>
          <w:szCs w:val="24"/>
        </w:rPr>
        <w:t>1</w:t>
      </w:r>
      <w:r w:rsidR="00C377D3">
        <w:rPr>
          <w:sz w:val="24"/>
          <w:szCs w:val="24"/>
        </w:rPr>
        <w:t>0</w:t>
      </w:r>
      <w:r w:rsidRPr="004550C6">
        <w:rPr>
          <w:sz w:val="24"/>
          <w:szCs w:val="24"/>
        </w:rPr>
        <w:t>, 202</w:t>
      </w:r>
      <w:r w:rsidR="00C377D3">
        <w:rPr>
          <w:sz w:val="24"/>
          <w:szCs w:val="24"/>
        </w:rPr>
        <w:t>5</w:t>
      </w:r>
    </w:p>
    <w:p w14:paraId="14E66C29" w14:textId="77777777" w:rsidR="000E11BE" w:rsidRDefault="000E11BE">
      <w:pPr>
        <w:spacing w:before="9" w:line="280" w:lineRule="exact"/>
        <w:rPr>
          <w:sz w:val="28"/>
          <w:szCs w:val="28"/>
        </w:rPr>
      </w:pPr>
    </w:p>
    <w:p w14:paraId="66D02740" w14:textId="720EC585" w:rsidR="000E11BE" w:rsidRDefault="00815153">
      <w:pPr>
        <w:pStyle w:val="Heading2"/>
        <w:tabs>
          <w:tab w:val="left" w:pos="838"/>
        </w:tabs>
        <w:ind w:left="840" w:right="2986" w:hanging="720"/>
        <w:rPr>
          <w:b w:val="0"/>
          <w:bCs w:val="0"/>
        </w:rPr>
      </w:pPr>
      <w:r>
        <w:t>Re:</w:t>
      </w:r>
      <w:r>
        <w:tab/>
      </w:r>
      <w:r w:rsidR="00C377D3">
        <w:t>51</w:t>
      </w:r>
      <w:r w:rsidR="00C377D3" w:rsidRPr="00C377D3">
        <w:rPr>
          <w:vertAlign w:val="superscript"/>
        </w:rPr>
        <w:t>st</w:t>
      </w:r>
      <w:r w:rsidR="00C377D3">
        <w:t xml:space="preserve"> </w:t>
      </w:r>
      <w:r>
        <w:t>Year</w:t>
      </w:r>
      <w:r>
        <w:rPr>
          <w:spacing w:val="-9"/>
        </w:rPr>
        <w:t xml:space="preserve"> </w:t>
      </w:r>
      <w:r>
        <w:t>Community</w:t>
      </w:r>
      <w:r>
        <w:rPr>
          <w:spacing w:val="-8"/>
        </w:rPr>
        <w:t xml:space="preserve"> </w:t>
      </w:r>
      <w:r>
        <w:t>Development</w:t>
      </w:r>
      <w:r>
        <w:rPr>
          <w:spacing w:val="-9"/>
        </w:rPr>
        <w:t xml:space="preserve"> </w:t>
      </w:r>
      <w:r>
        <w:t>Block</w:t>
      </w:r>
      <w:r>
        <w:rPr>
          <w:spacing w:val="-8"/>
        </w:rPr>
        <w:t xml:space="preserve"> </w:t>
      </w:r>
      <w:r>
        <w:t>Grant</w:t>
      </w:r>
      <w:r>
        <w:rPr>
          <w:spacing w:val="-9"/>
        </w:rPr>
        <w:t xml:space="preserve"> </w:t>
      </w:r>
      <w:r>
        <w:t>(CDBG)</w:t>
      </w:r>
      <w:r>
        <w:rPr>
          <w:w w:val="99"/>
        </w:rPr>
        <w:t xml:space="preserve"> </w:t>
      </w:r>
      <w:r>
        <w:rPr>
          <w:spacing w:val="-1"/>
        </w:rPr>
        <w:t>P</w:t>
      </w:r>
      <w:r>
        <w:t>ublic</w:t>
      </w:r>
      <w:r>
        <w:rPr>
          <w:spacing w:val="-9"/>
        </w:rPr>
        <w:t xml:space="preserve"> </w:t>
      </w:r>
      <w:r>
        <w:t>Service</w:t>
      </w:r>
      <w:r>
        <w:rPr>
          <w:spacing w:val="-9"/>
        </w:rPr>
        <w:t xml:space="preserve"> </w:t>
      </w:r>
      <w:r>
        <w:t>Applicat</w:t>
      </w:r>
      <w:r>
        <w:rPr>
          <w:spacing w:val="1"/>
        </w:rPr>
        <w:t>i</w:t>
      </w:r>
      <w:r>
        <w:t>ons</w:t>
      </w:r>
      <w:r>
        <w:rPr>
          <w:spacing w:val="-8"/>
        </w:rPr>
        <w:t xml:space="preserve"> </w:t>
      </w:r>
      <w:r>
        <w:t>‐‐‐</w:t>
      </w:r>
      <w:r>
        <w:rPr>
          <w:spacing w:val="-9"/>
        </w:rPr>
        <w:t xml:space="preserve"> </w:t>
      </w:r>
      <w:r>
        <w:t>Prog</w:t>
      </w:r>
      <w:r>
        <w:rPr>
          <w:spacing w:val="1"/>
        </w:rPr>
        <w:t>r</w:t>
      </w:r>
      <w:r>
        <w:t>am</w:t>
      </w:r>
      <w:r>
        <w:rPr>
          <w:spacing w:val="-8"/>
        </w:rPr>
        <w:t xml:space="preserve"> </w:t>
      </w:r>
      <w:r>
        <w:t>Year</w:t>
      </w:r>
      <w:r>
        <w:rPr>
          <w:spacing w:val="-9"/>
        </w:rPr>
        <w:t xml:space="preserve"> </w:t>
      </w:r>
      <w:r>
        <w:t>202</w:t>
      </w:r>
      <w:r w:rsidR="00C377D3">
        <w:t>5</w:t>
      </w:r>
      <w:r>
        <w:t>‐202</w:t>
      </w:r>
      <w:r w:rsidR="00C377D3">
        <w:t>6</w:t>
      </w:r>
    </w:p>
    <w:p w14:paraId="5A7EB198" w14:textId="77777777" w:rsidR="000E11BE" w:rsidRDefault="000E11BE">
      <w:pPr>
        <w:spacing w:before="14" w:line="280" w:lineRule="exact"/>
        <w:rPr>
          <w:sz w:val="28"/>
          <w:szCs w:val="28"/>
        </w:rPr>
      </w:pPr>
    </w:p>
    <w:p w14:paraId="6593CC8D" w14:textId="77777777" w:rsidR="000E11BE" w:rsidRDefault="000E11BE">
      <w:pPr>
        <w:spacing w:before="13" w:line="280" w:lineRule="exact"/>
        <w:rPr>
          <w:sz w:val="28"/>
          <w:szCs w:val="28"/>
        </w:rPr>
      </w:pPr>
    </w:p>
    <w:p w14:paraId="68185041" w14:textId="23FDA434" w:rsidR="00E3101C" w:rsidRDefault="00581BC0" w:rsidP="00581BC0">
      <w:pPr>
        <w:spacing w:before="13" w:line="280" w:lineRule="exact"/>
        <w:rPr>
          <w:rFonts w:cstheme="minorHAnsi"/>
          <w:color w:val="333333"/>
          <w:shd w:val="clear" w:color="auto" w:fill="FFFFFF"/>
        </w:rPr>
      </w:pPr>
      <w:r w:rsidRPr="00581BC0">
        <w:rPr>
          <w:rFonts w:cstheme="minorHAnsi"/>
          <w:color w:val="333333"/>
          <w:shd w:val="clear" w:color="auto" w:fill="FFFFFF"/>
        </w:rPr>
        <w:t>The City of Lakeland is currently accepting applications from non-profit organizations seeking funds to provide public service programs for the program year 202</w:t>
      </w:r>
      <w:r w:rsidR="00C377D3">
        <w:rPr>
          <w:rFonts w:cstheme="minorHAnsi"/>
          <w:color w:val="333333"/>
          <w:shd w:val="clear" w:color="auto" w:fill="FFFFFF"/>
        </w:rPr>
        <w:t>5</w:t>
      </w:r>
      <w:r w:rsidRPr="00581BC0">
        <w:rPr>
          <w:rFonts w:cstheme="minorHAnsi"/>
          <w:color w:val="333333"/>
          <w:shd w:val="clear" w:color="auto" w:fill="FFFFFF"/>
        </w:rPr>
        <w:t>-202</w:t>
      </w:r>
      <w:r w:rsidR="00C377D3">
        <w:rPr>
          <w:rFonts w:cstheme="minorHAnsi"/>
          <w:color w:val="333333"/>
          <w:shd w:val="clear" w:color="auto" w:fill="FFFFFF"/>
        </w:rPr>
        <w:t>6</w:t>
      </w:r>
      <w:r w:rsidRPr="00581BC0">
        <w:rPr>
          <w:rFonts w:cstheme="minorHAnsi"/>
          <w:color w:val="333333"/>
          <w:shd w:val="clear" w:color="auto" w:fill="FFFFFF"/>
        </w:rPr>
        <w:t>. Note: The application cycles for the Community Development Block Grant (CDBG) and General Fund have been consolidated into one cycle.</w:t>
      </w:r>
      <w:r w:rsidRPr="00581BC0">
        <w:rPr>
          <w:rFonts w:cstheme="minorHAnsi"/>
          <w:color w:val="333333"/>
        </w:rPr>
        <w:br/>
      </w:r>
      <w:r w:rsidRPr="00581BC0">
        <w:rPr>
          <w:rFonts w:cstheme="minorHAnsi"/>
          <w:color w:val="333333"/>
        </w:rPr>
        <w:br/>
      </w:r>
      <w:r w:rsidRPr="00581BC0">
        <w:rPr>
          <w:rFonts w:cstheme="minorHAnsi"/>
          <w:color w:val="333333"/>
          <w:shd w:val="clear" w:color="auto" w:fill="FFFFFF"/>
        </w:rPr>
        <w:t xml:space="preserve">The CDBG and General Fund fiscal year begins on </w:t>
      </w:r>
      <w:r w:rsidR="00E3101C" w:rsidRPr="00581BC0">
        <w:rPr>
          <w:rFonts w:cstheme="minorHAnsi"/>
          <w:color w:val="333333"/>
          <w:shd w:val="clear" w:color="auto" w:fill="FFFFFF"/>
        </w:rPr>
        <w:t xml:space="preserve">October 1, </w:t>
      </w:r>
      <w:r w:rsidR="00960439" w:rsidRPr="00581BC0">
        <w:rPr>
          <w:rFonts w:cstheme="minorHAnsi"/>
          <w:color w:val="333333"/>
          <w:shd w:val="clear" w:color="auto" w:fill="FFFFFF"/>
        </w:rPr>
        <w:t>20</w:t>
      </w:r>
      <w:r w:rsidR="00B17E30">
        <w:rPr>
          <w:rFonts w:cstheme="minorHAnsi"/>
          <w:color w:val="333333"/>
          <w:shd w:val="clear" w:color="auto" w:fill="FFFFFF"/>
        </w:rPr>
        <w:t>25</w:t>
      </w:r>
      <w:r w:rsidR="00960439">
        <w:rPr>
          <w:rFonts w:cstheme="minorHAnsi"/>
          <w:color w:val="333333"/>
          <w:shd w:val="clear" w:color="auto" w:fill="FFFFFF"/>
        </w:rPr>
        <w:t>,</w:t>
      </w:r>
      <w:r w:rsidR="00E3101C">
        <w:rPr>
          <w:rFonts w:cstheme="minorHAnsi"/>
          <w:color w:val="333333"/>
          <w:shd w:val="clear" w:color="auto" w:fill="FFFFFF"/>
        </w:rPr>
        <w:t xml:space="preserve"> and</w:t>
      </w:r>
      <w:r w:rsidRPr="00581BC0">
        <w:rPr>
          <w:rFonts w:cstheme="minorHAnsi"/>
          <w:color w:val="333333"/>
          <w:shd w:val="clear" w:color="auto" w:fill="FFFFFF"/>
        </w:rPr>
        <w:t xml:space="preserve"> ends on September 30, 20</w:t>
      </w:r>
      <w:r w:rsidR="00C377D3">
        <w:rPr>
          <w:rFonts w:cstheme="minorHAnsi"/>
          <w:color w:val="333333"/>
          <w:shd w:val="clear" w:color="auto" w:fill="FFFFFF"/>
        </w:rPr>
        <w:t>26</w:t>
      </w:r>
      <w:r w:rsidRPr="00581BC0">
        <w:rPr>
          <w:rFonts w:cstheme="minorHAnsi"/>
          <w:color w:val="333333"/>
          <w:shd w:val="clear" w:color="auto" w:fill="FFFFFF"/>
        </w:rPr>
        <w:t>. </w:t>
      </w:r>
    </w:p>
    <w:p w14:paraId="2C25D054" w14:textId="77777777" w:rsidR="00E3101C" w:rsidRDefault="00E3101C" w:rsidP="00581BC0">
      <w:pPr>
        <w:spacing w:before="13" w:line="280" w:lineRule="exact"/>
        <w:rPr>
          <w:rFonts w:cstheme="minorHAnsi"/>
          <w:color w:val="333333"/>
          <w:shd w:val="clear" w:color="auto" w:fill="FFFFFF"/>
        </w:rPr>
      </w:pPr>
    </w:p>
    <w:p w14:paraId="0F1B9746" w14:textId="2833657C" w:rsidR="000E11BE" w:rsidRDefault="00E3101C" w:rsidP="00581BC0">
      <w:pPr>
        <w:spacing w:before="13" w:line="280" w:lineRule="exact"/>
        <w:rPr>
          <w:rFonts w:cstheme="minorHAnsi"/>
          <w:color w:val="333333"/>
          <w:shd w:val="clear" w:color="auto" w:fill="FFFFFF"/>
        </w:rPr>
      </w:pPr>
      <w:r>
        <w:rPr>
          <w:rFonts w:cstheme="minorHAnsi"/>
          <w:color w:val="333333"/>
          <w:shd w:val="clear" w:color="auto" w:fill="FFFFFF"/>
        </w:rPr>
        <w:t xml:space="preserve">NOTE: </w:t>
      </w:r>
      <w:r w:rsidR="00581BC0" w:rsidRPr="00581BC0">
        <w:rPr>
          <w:rFonts w:cstheme="minorHAnsi"/>
          <w:color w:val="333333"/>
          <w:u w:val="single"/>
          <w:shd w:val="clear" w:color="auto" w:fill="FFFFFF"/>
        </w:rPr>
        <w:t>This is a reimbursement grant. The agency must have incurred and paid for the program expenses during the applicable fiscal year before the City reimburses the agency.</w:t>
      </w:r>
      <w:r w:rsidR="00581BC0" w:rsidRPr="00581BC0">
        <w:rPr>
          <w:rFonts w:cstheme="minorHAnsi"/>
          <w:color w:val="333333"/>
        </w:rPr>
        <w:br/>
      </w:r>
      <w:r w:rsidR="00581BC0" w:rsidRPr="00581BC0">
        <w:rPr>
          <w:rFonts w:cstheme="minorHAnsi"/>
          <w:color w:val="333333"/>
        </w:rPr>
        <w:br/>
      </w:r>
      <w:r w:rsidR="00581BC0" w:rsidRPr="00581BC0">
        <w:rPr>
          <w:rFonts w:cstheme="minorHAnsi"/>
          <w:color w:val="333333"/>
          <w:shd w:val="clear" w:color="auto" w:fill="FFFFFF"/>
        </w:rPr>
        <w:t xml:space="preserve">CDBG eligible activities must be located within the Lakeland city limits and must meet all applicable U.S. Department of Housing and Urban Development (HUD) grant requirements. To be eligible for consideration to receive CDBG funds, the proposed activity must be either a new service or a quantifiable increase in the level of an existing service above that which has been provided. The beneficiaries of the service must be low to moderate-income </w:t>
      </w:r>
      <w:r>
        <w:rPr>
          <w:rFonts w:cstheme="minorHAnsi"/>
          <w:color w:val="333333"/>
          <w:shd w:val="clear" w:color="auto" w:fill="FFFFFF"/>
        </w:rPr>
        <w:t xml:space="preserve">(see income chart) </w:t>
      </w:r>
      <w:r w:rsidR="00581BC0" w:rsidRPr="00581BC0">
        <w:rPr>
          <w:rFonts w:cstheme="minorHAnsi"/>
          <w:color w:val="333333"/>
          <w:shd w:val="clear" w:color="auto" w:fill="FFFFFF"/>
        </w:rPr>
        <w:t>persons who reside in the city limits of the City of Lakeland.</w:t>
      </w:r>
    </w:p>
    <w:p w14:paraId="0861002B" w14:textId="77777777" w:rsidR="00581BC0" w:rsidRPr="00581BC0" w:rsidRDefault="00581BC0">
      <w:pPr>
        <w:spacing w:before="13" w:line="280" w:lineRule="exact"/>
        <w:rPr>
          <w:rFonts w:cstheme="minorHAnsi"/>
          <w:sz w:val="28"/>
          <w:szCs w:val="28"/>
        </w:rPr>
      </w:pPr>
    </w:p>
    <w:p w14:paraId="30871F17" w14:textId="77777777" w:rsidR="000E11BE" w:rsidRDefault="00815153">
      <w:pPr>
        <w:pStyle w:val="Heading2"/>
        <w:ind w:left="120" w:right="198"/>
        <w:jc w:val="both"/>
        <w:rPr>
          <w:b w:val="0"/>
          <w:bCs w:val="0"/>
        </w:rPr>
      </w:pPr>
      <w:r>
        <w:t>The</w:t>
      </w:r>
      <w:r>
        <w:rPr>
          <w:spacing w:val="41"/>
        </w:rPr>
        <w:t xml:space="preserve"> </w:t>
      </w:r>
      <w:r>
        <w:t>following</w:t>
      </w:r>
      <w:r>
        <w:rPr>
          <w:spacing w:val="42"/>
        </w:rPr>
        <w:t xml:space="preserve"> </w:t>
      </w:r>
      <w:r>
        <w:t>guidelines</w:t>
      </w:r>
      <w:r>
        <w:rPr>
          <w:spacing w:val="41"/>
        </w:rPr>
        <w:t xml:space="preserve"> </w:t>
      </w:r>
      <w:r>
        <w:rPr>
          <w:spacing w:val="-1"/>
        </w:rPr>
        <w:t>h</w:t>
      </w:r>
      <w:r>
        <w:t>ave</w:t>
      </w:r>
      <w:r>
        <w:rPr>
          <w:spacing w:val="42"/>
        </w:rPr>
        <w:t xml:space="preserve"> </w:t>
      </w:r>
      <w:r>
        <w:rPr>
          <w:spacing w:val="-2"/>
        </w:rPr>
        <w:t>b</w:t>
      </w:r>
      <w:r>
        <w:t>een</w:t>
      </w:r>
      <w:r>
        <w:rPr>
          <w:spacing w:val="41"/>
        </w:rPr>
        <w:t xml:space="preserve"> </w:t>
      </w:r>
      <w:r>
        <w:t>adopted</w:t>
      </w:r>
      <w:r>
        <w:rPr>
          <w:spacing w:val="42"/>
        </w:rPr>
        <w:t xml:space="preserve"> </w:t>
      </w:r>
      <w:r>
        <w:rPr>
          <w:spacing w:val="-1"/>
        </w:rPr>
        <w:t>t</w:t>
      </w:r>
      <w:r>
        <w:t>o</w:t>
      </w:r>
      <w:r>
        <w:rPr>
          <w:spacing w:val="41"/>
        </w:rPr>
        <w:t xml:space="preserve"> </w:t>
      </w:r>
      <w:r>
        <w:t>better</w:t>
      </w:r>
      <w:r>
        <w:rPr>
          <w:spacing w:val="42"/>
        </w:rPr>
        <w:t xml:space="preserve"> </w:t>
      </w:r>
      <w:r>
        <w:t>serve</w:t>
      </w:r>
      <w:r>
        <w:rPr>
          <w:spacing w:val="41"/>
        </w:rPr>
        <w:t xml:space="preserve"> </w:t>
      </w:r>
      <w:r>
        <w:rPr>
          <w:spacing w:val="-2"/>
        </w:rPr>
        <w:t>t</w:t>
      </w:r>
      <w:r>
        <w:t>he</w:t>
      </w:r>
      <w:r>
        <w:rPr>
          <w:spacing w:val="41"/>
        </w:rPr>
        <w:t xml:space="preserve"> </w:t>
      </w:r>
      <w:r>
        <w:t>citizens</w:t>
      </w:r>
      <w:r>
        <w:rPr>
          <w:spacing w:val="42"/>
        </w:rPr>
        <w:t xml:space="preserve"> </w:t>
      </w:r>
      <w:r>
        <w:t>of</w:t>
      </w:r>
      <w:r>
        <w:rPr>
          <w:spacing w:val="41"/>
        </w:rPr>
        <w:t xml:space="preserve"> </w:t>
      </w:r>
      <w:r>
        <w:t>our</w:t>
      </w:r>
      <w:r>
        <w:rPr>
          <w:w w:val="99"/>
        </w:rPr>
        <w:t xml:space="preserve"> </w:t>
      </w:r>
      <w:r>
        <w:t>community:</w:t>
      </w:r>
    </w:p>
    <w:p w14:paraId="4AC073D8" w14:textId="77777777" w:rsidR="000E11BE" w:rsidRDefault="000E11BE">
      <w:pPr>
        <w:spacing w:before="2" w:line="280" w:lineRule="exact"/>
        <w:rPr>
          <w:sz w:val="28"/>
          <w:szCs w:val="28"/>
        </w:rPr>
      </w:pPr>
    </w:p>
    <w:p w14:paraId="3AA3D2BE" w14:textId="77777777" w:rsidR="00F30721" w:rsidRDefault="00F30721" w:rsidP="00F30721">
      <w:pPr>
        <w:pStyle w:val="BodyText"/>
        <w:numPr>
          <w:ilvl w:val="0"/>
          <w:numId w:val="1"/>
        </w:numPr>
        <w:tabs>
          <w:tab w:val="left" w:pos="840"/>
        </w:tabs>
        <w:ind w:left="839" w:hanging="360"/>
      </w:pPr>
      <w:r>
        <w:t>Limit</w:t>
      </w:r>
      <w:r>
        <w:rPr>
          <w:spacing w:val="-7"/>
        </w:rPr>
        <w:t xml:space="preserve"> </w:t>
      </w:r>
      <w:r>
        <w:t>each</w:t>
      </w:r>
      <w:r>
        <w:rPr>
          <w:spacing w:val="-6"/>
        </w:rPr>
        <w:t xml:space="preserve"> </w:t>
      </w:r>
      <w:r>
        <w:t>agency</w:t>
      </w:r>
      <w:r>
        <w:rPr>
          <w:spacing w:val="-6"/>
        </w:rPr>
        <w:t xml:space="preserve"> </w:t>
      </w:r>
      <w:r>
        <w:t>to</w:t>
      </w:r>
      <w:r>
        <w:rPr>
          <w:spacing w:val="-6"/>
        </w:rPr>
        <w:t xml:space="preserve"> </w:t>
      </w:r>
      <w:r>
        <w:t>one</w:t>
      </w:r>
      <w:r>
        <w:rPr>
          <w:spacing w:val="-6"/>
        </w:rPr>
        <w:t xml:space="preserve"> </w:t>
      </w:r>
      <w:r>
        <w:t>applicati</w:t>
      </w:r>
      <w:r>
        <w:rPr>
          <w:spacing w:val="-2"/>
        </w:rPr>
        <w:t>o</w:t>
      </w:r>
      <w:r>
        <w:t>n</w:t>
      </w:r>
      <w:r>
        <w:rPr>
          <w:spacing w:val="-7"/>
        </w:rPr>
        <w:t xml:space="preserve"> </w:t>
      </w:r>
      <w:r>
        <w:t>and</w:t>
      </w:r>
      <w:r>
        <w:rPr>
          <w:spacing w:val="-6"/>
        </w:rPr>
        <w:t xml:space="preserve"> </w:t>
      </w:r>
      <w:r>
        <w:t>one</w:t>
      </w:r>
      <w:r>
        <w:rPr>
          <w:spacing w:val="-6"/>
        </w:rPr>
        <w:t xml:space="preserve"> </w:t>
      </w:r>
      <w:r>
        <w:t>category.</w:t>
      </w:r>
    </w:p>
    <w:p w14:paraId="39D892BF" w14:textId="77777777" w:rsidR="00F30721" w:rsidRDefault="00F30721" w:rsidP="00F30721">
      <w:pPr>
        <w:spacing w:before="8" w:line="100" w:lineRule="exact"/>
        <w:rPr>
          <w:sz w:val="10"/>
          <w:szCs w:val="10"/>
        </w:rPr>
      </w:pPr>
    </w:p>
    <w:p w14:paraId="44828D6B" w14:textId="77777777" w:rsidR="00F30721" w:rsidRDefault="00F30721" w:rsidP="00F30721">
      <w:pPr>
        <w:pStyle w:val="BodyText"/>
        <w:numPr>
          <w:ilvl w:val="0"/>
          <w:numId w:val="1"/>
        </w:numPr>
        <w:tabs>
          <w:tab w:val="left" w:pos="840"/>
        </w:tabs>
        <w:ind w:left="839" w:right="200" w:hanging="360"/>
      </w:pPr>
      <w:r>
        <w:t>CDBG - Set minimum</w:t>
      </w:r>
      <w:r>
        <w:rPr>
          <w:spacing w:val="52"/>
        </w:rPr>
        <w:t xml:space="preserve"> </w:t>
      </w:r>
      <w:r>
        <w:t>($5,000)</w:t>
      </w:r>
      <w:r>
        <w:rPr>
          <w:spacing w:val="54"/>
        </w:rPr>
        <w:t xml:space="preserve"> </w:t>
      </w:r>
      <w:r>
        <w:t>a</w:t>
      </w:r>
      <w:r>
        <w:rPr>
          <w:spacing w:val="1"/>
        </w:rPr>
        <w:t>n</w:t>
      </w:r>
      <w:r>
        <w:t>d</w:t>
      </w:r>
      <w:r>
        <w:rPr>
          <w:spacing w:val="53"/>
        </w:rPr>
        <w:t xml:space="preserve"> </w:t>
      </w:r>
      <w:r>
        <w:t>maximum</w:t>
      </w:r>
      <w:r>
        <w:rPr>
          <w:spacing w:val="54"/>
        </w:rPr>
        <w:t xml:space="preserve"> </w:t>
      </w:r>
      <w:r>
        <w:t>($30,000)</w:t>
      </w:r>
      <w:r>
        <w:rPr>
          <w:spacing w:val="53"/>
        </w:rPr>
        <w:t xml:space="preserve"> </w:t>
      </w:r>
      <w:r>
        <w:rPr>
          <w:spacing w:val="1"/>
        </w:rPr>
        <w:t>l</w:t>
      </w:r>
      <w:r>
        <w:t>imits</w:t>
      </w:r>
      <w:r>
        <w:rPr>
          <w:spacing w:val="54"/>
        </w:rPr>
        <w:t xml:space="preserve"> </w:t>
      </w:r>
      <w:r>
        <w:t>of</w:t>
      </w:r>
      <w:r>
        <w:rPr>
          <w:spacing w:val="53"/>
        </w:rPr>
        <w:t xml:space="preserve"> </w:t>
      </w:r>
      <w:r>
        <w:t>fu</w:t>
      </w:r>
      <w:r>
        <w:rPr>
          <w:spacing w:val="1"/>
        </w:rPr>
        <w:t>n</w:t>
      </w:r>
      <w:r>
        <w:rPr>
          <w:spacing w:val="-1"/>
        </w:rPr>
        <w:t>d</w:t>
      </w:r>
      <w:r>
        <w:t>s</w:t>
      </w:r>
      <w:r>
        <w:rPr>
          <w:spacing w:val="54"/>
        </w:rPr>
        <w:t xml:space="preserve"> </w:t>
      </w:r>
      <w:r>
        <w:t>to</w:t>
      </w:r>
      <w:r>
        <w:rPr>
          <w:spacing w:val="53"/>
        </w:rPr>
        <w:t xml:space="preserve"> </w:t>
      </w:r>
      <w:r>
        <w:rPr>
          <w:spacing w:val="-1"/>
        </w:rPr>
        <w:t>each</w:t>
      </w:r>
      <w:r>
        <w:rPr>
          <w:spacing w:val="-1"/>
          <w:w w:val="99"/>
        </w:rPr>
        <w:t xml:space="preserve"> </w:t>
      </w:r>
      <w:r>
        <w:t>agency.</w:t>
      </w:r>
    </w:p>
    <w:p w14:paraId="5F780827" w14:textId="77777777" w:rsidR="00F30721" w:rsidRDefault="00F30721" w:rsidP="00F30721">
      <w:pPr>
        <w:spacing w:before="8" w:line="100" w:lineRule="exact"/>
        <w:rPr>
          <w:sz w:val="10"/>
          <w:szCs w:val="10"/>
        </w:rPr>
      </w:pPr>
    </w:p>
    <w:p w14:paraId="1ADDA88C" w14:textId="739684FE" w:rsidR="00F30721" w:rsidRDefault="00F30721" w:rsidP="00F30721">
      <w:pPr>
        <w:pStyle w:val="BodyText"/>
        <w:numPr>
          <w:ilvl w:val="0"/>
          <w:numId w:val="1"/>
        </w:numPr>
        <w:tabs>
          <w:tab w:val="left" w:pos="839"/>
        </w:tabs>
        <w:ind w:left="839" w:right="199"/>
      </w:pPr>
      <w:r>
        <w:t>General</w:t>
      </w:r>
      <w:r>
        <w:rPr>
          <w:spacing w:val="40"/>
        </w:rPr>
        <w:t xml:space="preserve"> </w:t>
      </w:r>
      <w:r>
        <w:t>Fund</w:t>
      </w:r>
      <w:r>
        <w:rPr>
          <w:spacing w:val="41"/>
        </w:rPr>
        <w:t xml:space="preserve"> </w:t>
      </w:r>
      <w:r>
        <w:t>–</w:t>
      </w:r>
      <w:r>
        <w:rPr>
          <w:spacing w:val="40"/>
        </w:rPr>
        <w:t xml:space="preserve"> </w:t>
      </w:r>
      <w:r>
        <w:t>Set</w:t>
      </w:r>
      <w:r>
        <w:rPr>
          <w:spacing w:val="41"/>
        </w:rPr>
        <w:t xml:space="preserve"> </w:t>
      </w:r>
      <w:r>
        <w:t>minimum</w:t>
      </w:r>
      <w:r>
        <w:rPr>
          <w:spacing w:val="41"/>
        </w:rPr>
        <w:t xml:space="preserve"> </w:t>
      </w:r>
      <w:r>
        <w:t>($3,000)</w:t>
      </w:r>
      <w:r>
        <w:rPr>
          <w:spacing w:val="40"/>
        </w:rPr>
        <w:t xml:space="preserve"> </w:t>
      </w:r>
      <w:r>
        <w:t>and</w:t>
      </w:r>
      <w:r>
        <w:rPr>
          <w:spacing w:val="41"/>
        </w:rPr>
        <w:t xml:space="preserve"> </w:t>
      </w:r>
      <w:r>
        <w:t>maximum</w:t>
      </w:r>
      <w:r>
        <w:rPr>
          <w:spacing w:val="40"/>
        </w:rPr>
        <w:t xml:space="preserve"> </w:t>
      </w:r>
      <w:r>
        <w:t>($5,000)</w:t>
      </w:r>
      <w:r>
        <w:rPr>
          <w:spacing w:val="41"/>
        </w:rPr>
        <w:t xml:space="preserve"> </w:t>
      </w:r>
      <w:r>
        <w:t>for</w:t>
      </w:r>
      <w:r>
        <w:rPr>
          <w:spacing w:val="41"/>
        </w:rPr>
        <w:t xml:space="preserve"> </w:t>
      </w:r>
      <w:r>
        <w:rPr>
          <w:spacing w:val="-1"/>
        </w:rPr>
        <w:t>s</w:t>
      </w:r>
      <w:r>
        <w:rPr>
          <w:spacing w:val="1"/>
        </w:rPr>
        <w:t>t</w:t>
      </w:r>
      <w:r>
        <w:t>art‐up/grass</w:t>
      </w:r>
      <w:r>
        <w:rPr>
          <w:w w:val="99"/>
        </w:rPr>
        <w:t xml:space="preserve"> </w:t>
      </w:r>
      <w:r>
        <w:t>roots</w:t>
      </w:r>
      <w:r>
        <w:rPr>
          <w:spacing w:val="-6"/>
        </w:rPr>
        <w:t xml:space="preserve"> </w:t>
      </w:r>
      <w:r>
        <w:t>organizations</w:t>
      </w:r>
      <w:r>
        <w:rPr>
          <w:spacing w:val="-6"/>
        </w:rPr>
        <w:t xml:space="preserve"> </w:t>
      </w:r>
      <w:r>
        <w:t>–</w:t>
      </w:r>
      <w:r>
        <w:rPr>
          <w:spacing w:val="-6"/>
        </w:rPr>
        <w:t xml:space="preserve"> </w:t>
      </w:r>
      <w:r>
        <w:t>a</w:t>
      </w:r>
      <w:r>
        <w:rPr>
          <w:spacing w:val="-6"/>
        </w:rPr>
        <w:t xml:space="preserve"> </w:t>
      </w:r>
      <w:r>
        <w:t>set‐aside</w:t>
      </w:r>
      <w:r>
        <w:rPr>
          <w:spacing w:val="-5"/>
        </w:rPr>
        <w:t xml:space="preserve"> </w:t>
      </w:r>
      <w:r>
        <w:t>will</w:t>
      </w:r>
      <w:r>
        <w:rPr>
          <w:spacing w:val="-8"/>
        </w:rPr>
        <w:t xml:space="preserve"> </w:t>
      </w:r>
      <w:r>
        <w:t>be</w:t>
      </w:r>
      <w:r>
        <w:rPr>
          <w:spacing w:val="-6"/>
        </w:rPr>
        <w:t xml:space="preserve"> </w:t>
      </w:r>
      <w:r>
        <w:t>made</w:t>
      </w:r>
      <w:r>
        <w:rPr>
          <w:spacing w:val="-5"/>
        </w:rPr>
        <w:t xml:space="preserve"> </w:t>
      </w:r>
      <w:r>
        <w:t>a</w:t>
      </w:r>
      <w:r>
        <w:rPr>
          <w:spacing w:val="-2"/>
        </w:rPr>
        <w:t>v</w:t>
      </w:r>
      <w:r>
        <w:t>ailable</w:t>
      </w:r>
      <w:r>
        <w:rPr>
          <w:spacing w:val="-6"/>
        </w:rPr>
        <w:t xml:space="preserve"> </w:t>
      </w:r>
      <w:r>
        <w:t>for</w:t>
      </w:r>
      <w:r>
        <w:rPr>
          <w:spacing w:val="-6"/>
        </w:rPr>
        <w:t xml:space="preserve"> </w:t>
      </w:r>
      <w:r>
        <w:t>s</w:t>
      </w:r>
      <w:r>
        <w:rPr>
          <w:spacing w:val="2"/>
        </w:rPr>
        <w:t>u</w:t>
      </w:r>
      <w:r>
        <w:t>ch</w:t>
      </w:r>
      <w:r>
        <w:rPr>
          <w:spacing w:val="-6"/>
        </w:rPr>
        <w:t xml:space="preserve"> </w:t>
      </w:r>
      <w:r>
        <w:t>grants.</w:t>
      </w:r>
    </w:p>
    <w:p w14:paraId="4497B74F" w14:textId="77777777" w:rsidR="00F30721" w:rsidRDefault="00F30721" w:rsidP="00F30721">
      <w:pPr>
        <w:spacing w:before="8" w:line="100" w:lineRule="exact"/>
        <w:rPr>
          <w:sz w:val="10"/>
          <w:szCs w:val="10"/>
        </w:rPr>
      </w:pPr>
    </w:p>
    <w:p w14:paraId="0B60313C" w14:textId="77777777" w:rsidR="00F30721" w:rsidRDefault="00F30721" w:rsidP="00F30721">
      <w:pPr>
        <w:pStyle w:val="BodyText"/>
        <w:numPr>
          <w:ilvl w:val="0"/>
          <w:numId w:val="1"/>
        </w:numPr>
        <w:tabs>
          <w:tab w:val="left" w:pos="840"/>
        </w:tabs>
        <w:ind w:left="840"/>
      </w:pPr>
      <w:r>
        <w:t>Utilize</w:t>
      </w:r>
      <w:r>
        <w:rPr>
          <w:spacing w:val="-8"/>
        </w:rPr>
        <w:t xml:space="preserve"> </w:t>
      </w:r>
      <w:r>
        <w:t>HUD</w:t>
      </w:r>
      <w:r>
        <w:rPr>
          <w:spacing w:val="-8"/>
        </w:rPr>
        <w:t xml:space="preserve"> </w:t>
      </w:r>
      <w:r>
        <w:t>classificati</w:t>
      </w:r>
      <w:r>
        <w:rPr>
          <w:spacing w:val="-2"/>
        </w:rPr>
        <w:t>o</w:t>
      </w:r>
      <w:r>
        <w:t>ns</w:t>
      </w:r>
      <w:r>
        <w:rPr>
          <w:spacing w:val="-7"/>
        </w:rPr>
        <w:t xml:space="preserve"> </w:t>
      </w:r>
      <w:r>
        <w:t>for</w:t>
      </w:r>
      <w:r>
        <w:rPr>
          <w:spacing w:val="-8"/>
        </w:rPr>
        <w:t xml:space="preserve"> </w:t>
      </w:r>
      <w:r>
        <w:t>fund</w:t>
      </w:r>
      <w:r>
        <w:rPr>
          <w:spacing w:val="1"/>
        </w:rPr>
        <w:t>i</w:t>
      </w:r>
      <w:r>
        <w:t>ng</w:t>
      </w:r>
      <w:r>
        <w:rPr>
          <w:spacing w:val="-7"/>
        </w:rPr>
        <w:t xml:space="preserve"> </w:t>
      </w:r>
      <w:r>
        <w:t>categories.</w:t>
      </w:r>
      <w:r>
        <w:rPr>
          <w:spacing w:val="39"/>
        </w:rPr>
        <w:t xml:space="preserve"> </w:t>
      </w:r>
      <w:r>
        <w:t>(See</w:t>
      </w:r>
      <w:r>
        <w:rPr>
          <w:spacing w:val="-8"/>
        </w:rPr>
        <w:t xml:space="preserve"> </w:t>
      </w:r>
      <w:r>
        <w:t>appl</w:t>
      </w:r>
      <w:r>
        <w:rPr>
          <w:spacing w:val="1"/>
        </w:rPr>
        <w:t>i</w:t>
      </w:r>
      <w:r>
        <w:t>cation)</w:t>
      </w:r>
    </w:p>
    <w:p w14:paraId="044D94FB" w14:textId="77777777" w:rsidR="00F30721" w:rsidRDefault="00F30721" w:rsidP="00F30721">
      <w:pPr>
        <w:spacing w:before="10" w:line="100" w:lineRule="exact"/>
        <w:rPr>
          <w:sz w:val="10"/>
          <w:szCs w:val="10"/>
        </w:rPr>
      </w:pPr>
    </w:p>
    <w:p w14:paraId="2F590DEB" w14:textId="77777777" w:rsidR="00F30721" w:rsidRDefault="00F30721" w:rsidP="00F30721">
      <w:pPr>
        <w:pStyle w:val="BodyText"/>
        <w:numPr>
          <w:ilvl w:val="0"/>
          <w:numId w:val="1"/>
        </w:numPr>
        <w:tabs>
          <w:tab w:val="left" w:pos="840"/>
        </w:tabs>
        <w:ind w:left="840"/>
      </w:pPr>
      <w:r>
        <w:t>Reser</w:t>
      </w:r>
      <w:r>
        <w:rPr>
          <w:spacing w:val="-2"/>
        </w:rPr>
        <w:t>v</w:t>
      </w:r>
      <w:r>
        <w:t>e</w:t>
      </w:r>
      <w:r>
        <w:rPr>
          <w:spacing w:val="-6"/>
        </w:rPr>
        <w:t xml:space="preserve"> </w:t>
      </w:r>
      <w:r>
        <w:t>the</w:t>
      </w:r>
      <w:r>
        <w:rPr>
          <w:spacing w:val="-7"/>
        </w:rPr>
        <w:t xml:space="preserve"> </w:t>
      </w:r>
      <w:r>
        <w:t>right</w:t>
      </w:r>
      <w:r>
        <w:rPr>
          <w:spacing w:val="-6"/>
        </w:rPr>
        <w:t xml:space="preserve"> </w:t>
      </w:r>
      <w:r>
        <w:t>to</w:t>
      </w:r>
      <w:r>
        <w:rPr>
          <w:spacing w:val="-6"/>
        </w:rPr>
        <w:t xml:space="preserve"> </w:t>
      </w:r>
      <w:r>
        <w:t>refuse</w:t>
      </w:r>
      <w:r>
        <w:rPr>
          <w:spacing w:val="-5"/>
        </w:rPr>
        <w:t xml:space="preserve"> </w:t>
      </w:r>
      <w:r>
        <w:t>an</w:t>
      </w:r>
      <w:r>
        <w:rPr>
          <w:spacing w:val="-6"/>
        </w:rPr>
        <w:t xml:space="preserve"> </w:t>
      </w:r>
      <w:r>
        <w:rPr>
          <w:spacing w:val="-1"/>
        </w:rPr>
        <w:t>a</w:t>
      </w:r>
      <w:r>
        <w:t>ward</w:t>
      </w:r>
      <w:r>
        <w:rPr>
          <w:spacing w:val="-5"/>
        </w:rPr>
        <w:t xml:space="preserve"> </w:t>
      </w:r>
      <w:r>
        <w:t>based</w:t>
      </w:r>
      <w:r>
        <w:rPr>
          <w:spacing w:val="-6"/>
        </w:rPr>
        <w:t xml:space="preserve"> </w:t>
      </w:r>
      <w:r>
        <w:t>on</w:t>
      </w:r>
      <w:r>
        <w:rPr>
          <w:spacing w:val="-6"/>
        </w:rPr>
        <w:t xml:space="preserve"> </w:t>
      </w:r>
      <w:r>
        <w:t>current</w:t>
      </w:r>
      <w:r>
        <w:rPr>
          <w:spacing w:val="-5"/>
        </w:rPr>
        <w:t xml:space="preserve"> </w:t>
      </w:r>
      <w:r>
        <w:t>policy</w:t>
      </w:r>
      <w:r>
        <w:rPr>
          <w:spacing w:val="-8"/>
        </w:rPr>
        <w:t xml:space="preserve"> </w:t>
      </w:r>
      <w:r>
        <w:t>c</w:t>
      </w:r>
      <w:r>
        <w:rPr>
          <w:spacing w:val="-1"/>
        </w:rPr>
        <w:t>r</w:t>
      </w:r>
      <w:r>
        <w:t>iteria.</w:t>
      </w:r>
    </w:p>
    <w:p w14:paraId="0677B4B6" w14:textId="77777777" w:rsidR="00F30721" w:rsidRDefault="00F30721" w:rsidP="00F30721">
      <w:pPr>
        <w:spacing w:before="8" w:line="100" w:lineRule="exact"/>
        <w:rPr>
          <w:sz w:val="10"/>
          <w:szCs w:val="10"/>
        </w:rPr>
      </w:pPr>
    </w:p>
    <w:p w14:paraId="395C5068" w14:textId="77777777" w:rsidR="00F30721" w:rsidRDefault="00F30721" w:rsidP="00F30721">
      <w:pPr>
        <w:pStyle w:val="BodyText"/>
        <w:numPr>
          <w:ilvl w:val="0"/>
          <w:numId w:val="1"/>
        </w:numPr>
        <w:tabs>
          <w:tab w:val="left" w:pos="840"/>
        </w:tabs>
        <w:ind w:left="840" w:right="200"/>
      </w:pPr>
      <w:r>
        <w:t>The</w:t>
      </w:r>
      <w:r>
        <w:rPr>
          <w:spacing w:val="19"/>
        </w:rPr>
        <w:t xml:space="preserve"> </w:t>
      </w:r>
      <w:r>
        <w:t>following</w:t>
      </w:r>
      <w:r>
        <w:rPr>
          <w:spacing w:val="20"/>
        </w:rPr>
        <w:t xml:space="preserve"> </w:t>
      </w:r>
      <w:r>
        <w:t>is</w:t>
      </w:r>
      <w:r>
        <w:rPr>
          <w:spacing w:val="20"/>
        </w:rPr>
        <w:t xml:space="preserve"> </w:t>
      </w:r>
      <w:r>
        <w:t>a</w:t>
      </w:r>
      <w:r>
        <w:rPr>
          <w:spacing w:val="20"/>
        </w:rPr>
        <w:t xml:space="preserve"> </w:t>
      </w:r>
      <w:r>
        <w:t>list</w:t>
      </w:r>
      <w:r>
        <w:rPr>
          <w:spacing w:val="18"/>
        </w:rPr>
        <w:t xml:space="preserve"> </w:t>
      </w:r>
      <w:r w:rsidRPr="00B04797">
        <w:t>of</w:t>
      </w:r>
      <w:r w:rsidRPr="00B04797">
        <w:rPr>
          <w:spacing w:val="20"/>
        </w:rPr>
        <w:t xml:space="preserve"> </w:t>
      </w:r>
      <w:r w:rsidRPr="00B04797">
        <w:rPr>
          <w:rFonts w:cs="Calibri"/>
        </w:rPr>
        <w:t>ineligible</w:t>
      </w:r>
      <w:r>
        <w:rPr>
          <w:rFonts w:cs="Calibri"/>
          <w:b/>
          <w:bCs/>
          <w:spacing w:val="21"/>
        </w:rPr>
        <w:t xml:space="preserve"> </w:t>
      </w:r>
      <w:r>
        <w:t xml:space="preserve">items. </w:t>
      </w:r>
      <w:r>
        <w:rPr>
          <w:spacing w:val="39"/>
        </w:rPr>
        <w:t xml:space="preserve"> </w:t>
      </w:r>
      <w:r>
        <w:rPr>
          <w:spacing w:val="-1"/>
        </w:rPr>
        <w:t>T</w:t>
      </w:r>
      <w:r>
        <w:t>hese</w:t>
      </w:r>
      <w:r>
        <w:rPr>
          <w:spacing w:val="20"/>
        </w:rPr>
        <w:t xml:space="preserve"> </w:t>
      </w:r>
      <w:r>
        <w:t>req</w:t>
      </w:r>
      <w:r>
        <w:rPr>
          <w:spacing w:val="-2"/>
        </w:rPr>
        <w:t>u</w:t>
      </w:r>
      <w:r>
        <w:t>ests</w:t>
      </w:r>
      <w:r>
        <w:rPr>
          <w:spacing w:val="19"/>
        </w:rPr>
        <w:t xml:space="preserve"> </w:t>
      </w:r>
      <w:r>
        <w:t>will</w:t>
      </w:r>
      <w:r>
        <w:rPr>
          <w:spacing w:val="20"/>
        </w:rPr>
        <w:t xml:space="preserve"> </w:t>
      </w:r>
      <w:r>
        <w:t>disqualify</w:t>
      </w:r>
      <w:r>
        <w:rPr>
          <w:spacing w:val="20"/>
        </w:rPr>
        <w:t xml:space="preserve"> </w:t>
      </w:r>
      <w:r>
        <w:t>your</w:t>
      </w:r>
      <w:r>
        <w:rPr>
          <w:spacing w:val="20"/>
        </w:rPr>
        <w:t xml:space="preserve"> </w:t>
      </w:r>
      <w:r>
        <w:t>gra</w:t>
      </w:r>
      <w:r>
        <w:rPr>
          <w:spacing w:val="-1"/>
        </w:rPr>
        <w:t>n</w:t>
      </w:r>
      <w:r>
        <w:t>t</w:t>
      </w:r>
      <w:r>
        <w:rPr>
          <w:w w:val="99"/>
        </w:rPr>
        <w:t xml:space="preserve"> </w:t>
      </w:r>
      <w:r>
        <w:t>application</w:t>
      </w:r>
      <w:r>
        <w:rPr>
          <w:spacing w:val="-15"/>
        </w:rPr>
        <w:t xml:space="preserve"> </w:t>
      </w:r>
      <w:r>
        <w:t>from</w:t>
      </w:r>
      <w:r>
        <w:rPr>
          <w:spacing w:val="-15"/>
        </w:rPr>
        <w:t xml:space="preserve"> </w:t>
      </w:r>
      <w:r>
        <w:t>consideration:</w:t>
      </w:r>
    </w:p>
    <w:p w14:paraId="5A4C307D" w14:textId="2FBD2DE4" w:rsidR="000E11BE" w:rsidRDefault="00815153">
      <w:pPr>
        <w:pStyle w:val="BodyText"/>
        <w:numPr>
          <w:ilvl w:val="1"/>
          <w:numId w:val="1"/>
        </w:numPr>
        <w:tabs>
          <w:tab w:val="left" w:pos="1919"/>
        </w:tabs>
        <w:spacing w:before="39"/>
        <w:ind w:left="1920"/>
      </w:pPr>
      <w:r>
        <w:t>funds</w:t>
      </w:r>
      <w:r>
        <w:rPr>
          <w:spacing w:val="-7"/>
        </w:rPr>
        <w:t xml:space="preserve"> </w:t>
      </w:r>
      <w:r>
        <w:t>for</w:t>
      </w:r>
      <w:r>
        <w:rPr>
          <w:spacing w:val="-6"/>
        </w:rPr>
        <w:t xml:space="preserve"> </w:t>
      </w:r>
      <w:r>
        <w:t>any</w:t>
      </w:r>
      <w:r>
        <w:rPr>
          <w:spacing w:val="-7"/>
        </w:rPr>
        <w:t xml:space="preserve"> </w:t>
      </w:r>
      <w:r w:rsidR="00E3101C">
        <w:t>public</w:t>
      </w:r>
      <w:r w:rsidR="00E3101C">
        <w:rPr>
          <w:spacing w:val="-6"/>
        </w:rPr>
        <w:t>-school</w:t>
      </w:r>
      <w:r>
        <w:rPr>
          <w:spacing w:val="-7"/>
        </w:rPr>
        <w:t xml:space="preserve"> </w:t>
      </w:r>
      <w:r>
        <w:t>program</w:t>
      </w:r>
    </w:p>
    <w:p w14:paraId="37ED22A0" w14:textId="77777777" w:rsidR="000E11BE" w:rsidRDefault="00815153">
      <w:pPr>
        <w:pStyle w:val="BodyText"/>
        <w:numPr>
          <w:ilvl w:val="1"/>
          <w:numId w:val="1"/>
        </w:numPr>
        <w:tabs>
          <w:tab w:val="left" w:pos="1919"/>
        </w:tabs>
        <w:ind w:left="1919"/>
      </w:pPr>
      <w:r>
        <w:t>vehicle</w:t>
      </w:r>
      <w:r>
        <w:rPr>
          <w:spacing w:val="-6"/>
        </w:rPr>
        <w:t xml:space="preserve"> </w:t>
      </w:r>
      <w:r>
        <w:t>purchases</w:t>
      </w:r>
      <w:r>
        <w:rPr>
          <w:spacing w:val="-6"/>
        </w:rPr>
        <w:t xml:space="preserve"> </w:t>
      </w:r>
      <w:r>
        <w:t>–</w:t>
      </w:r>
      <w:r>
        <w:rPr>
          <w:spacing w:val="-6"/>
        </w:rPr>
        <w:t xml:space="preserve"> </w:t>
      </w:r>
      <w:r>
        <w:t>car</w:t>
      </w:r>
      <w:r>
        <w:rPr>
          <w:spacing w:val="-2"/>
        </w:rPr>
        <w:t>s</w:t>
      </w:r>
      <w:r>
        <w:t>,</w:t>
      </w:r>
      <w:r>
        <w:rPr>
          <w:spacing w:val="-6"/>
        </w:rPr>
        <w:t xml:space="preserve"> </w:t>
      </w:r>
      <w:r>
        <w:t>buses,</w:t>
      </w:r>
      <w:r>
        <w:rPr>
          <w:spacing w:val="-6"/>
        </w:rPr>
        <w:t xml:space="preserve"> </w:t>
      </w:r>
      <w:r>
        <w:t>vans,</w:t>
      </w:r>
      <w:r>
        <w:rPr>
          <w:spacing w:val="-6"/>
        </w:rPr>
        <w:t xml:space="preserve"> </w:t>
      </w:r>
      <w:r>
        <w:t>or</w:t>
      </w:r>
      <w:r>
        <w:rPr>
          <w:spacing w:val="-6"/>
        </w:rPr>
        <w:t xml:space="preserve"> </w:t>
      </w:r>
      <w:r>
        <w:t>trucks</w:t>
      </w:r>
    </w:p>
    <w:p w14:paraId="1F56159D" w14:textId="77777777" w:rsidR="000E11BE" w:rsidRDefault="00815153">
      <w:pPr>
        <w:pStyle w:val="BodyText"/>
        <w:numPr>
          <w:ilvl w:val="1"/>
          <w:numId w:val="1"/>
        </w:numPr>
        <w:tabs>
          <w:tab w:val="left" w:pos="1919"/>
        </w:tabs>
        <w:spacing w:before="1"/>
        <w:ind w:left="1919"/>
      </w:pPr>
      <w:r>
        <w:t>leases,</w:t>
      </w:r>
      <w:r>
        <w:rPr>
          <w:spacing w:val="-7"/>
        </w:rPr>
        <w:t xml:space="preserve"> </w:t>
      </w:r>
      <w:r>
        <w:t>insu</w:t>
      </w:r>
      <w:r>
        <w:rPr>
          <w:spacing w:val="-1"/>
        </w:rPr>
        <w:t>r</w:t>
      </w:r>
      <w:r>
        <w:t>ance,</w:t>
      </w:r>
      <w:r>
        <w:rPr>
          <w:spacing w:val="-7"/>
        </w:rPr>
        <w:t xml:space="preserve"> </w:t>
      </w:r>
      <w:r>
        <w:t>or</w:t>
      </w:r>
      <w:r>
        <w:rPr>
          <w:spacing w:val="-7"/>
        </w:rPr>
        <w:t xml:space="preserve"> </w:t>
      </w:r>
      <w:r>
        <w:t>re</w:t>
      </w:r>
      <w:r>
        <w:rPr>
          <w:spacing w:val="-2"/>
        </w:rPr>
        <w:t>n</w:t>
      </w:r>
      <w:r>
        <w:t>tal</w:t>
      </w:r>
      <w:r>
        <w:rPr>
          <w:spacing w:val="-7"/>
        </w:rPr>
        <w:t xml:space="preserve"> </w:t>
      </w:r>
      <w:r>
        <w:t>of</w:t>
      </w:r>
      <w:r>
        <w:rPr>
          <w:spacing w:val="-7"/>
        </w:rPr>
        <w:t xml:space="preserve"> </w:t>
      </w:r>
      <w:r>
        <w:t>vehicles</w:t>
      </w:r>
    </w:p>
    <w:p w14:paraId="4487F86F" w14:textId="77777777" w:rsidR="000E11BE" w:rsidRDefault="000E11BE">
      <w:pPr>
        <w:spacing w:before="5" w:line="190" w:lineRule="exact"/>
        <w:rPr>
          <w:sz w:val="19"/>
          <w:szCs w:val="19"/>
        </w:rPr>
      </w:pPr>
    </w:p>
    <w:p w14:paraId="0D784787" w14:textId="77777777" w:rsidR="000E11BE" w:rsidRDefault="000E11BE">
      <w:pPr>
        <w:jc w:val="both"/>
        <w:rPr>
          <w:rFonts w:ascii="Calibri" w:eastAsia="Calibri" w:hAnsi="Calibri" w:cs="Calibri"/>
          <w:sz w:val="16"/>
          <w:szCs w:val="16"/>
        </w:rPr>
        <w:sectPr w:rsidR="000E11BE">
          <w:headerReference w:type="default" r:id="rId7"/>
          <w:type w:val="continuous"/>
          <w:pgSz w:w="12240" w:h="15840"/>
          <w:pgMar w:top="2300" w:right="1600" w:bottom="280" w:left="1320" w:header="538" w:footer="720" w:gutter="0"/>
          <w:cols w:space="720"/>
        </w:sectPr>
      </w:pPr>
    </w:p>
    <w:p w14:paraId="5A5CCB6D" w14:textId="77777777" w:rsidR="000E11BE" w:rsidRDefault="000E11BE">
      <w:pPr>
        <w:spacing w:before="4" w:line="120" w:lineRule="exact"/>
        <w:rPr>
          <w:sz w:val="12"/>
          <w:szCs w:val="12"/>
        </w:rPr>
      </w:pPr>
    </w:p>
    <w:p w14:paraId="43CAA3A9" w14:textId="77777777" w:rsidR="000E11BE" w:rsidRDefault="00815153">
      <w:pPr>
        <w:pStyle w:val="BodyText"/>
        <w:numPr>
          <w:ilvl w:val="1"/>
          <w:numId w:val="1"/>
        </w:numPr>
        <w:tabs>
          <w:tab w:val="left" w:pos="1919"/>
        </w:tabs>
        <w:spacing w:before="66"/>
        <w:ind w:left="1920" w:hanging="360"/>
      </w:pPr>
      <w:r>
        <w:t>sports</w:t>
      </w:r>
      <w:r>
        <w:rPr>
          <w:spacing w:val="-9"/>
        </w:rPr>
        <w:t xml:space="preserve"> </w:t>
      </w:r>
      <w:r>
        <w:t>related</w:t>
      </w:r>
      <w:r>
        <w:rPr>
          <w:spacing w:val="-8"/>
        </w:rPr>
        <w:t xml:space="preserve"> </w:t>
      </w:r>
      <w:r>
        <w:t>items,</w:t>
      </w:r>
      <w:r>
        <w:rPr>
          <w:spacing w:val="-8"/>
        </w:rPr>
        <w:t xml:space="preserve"> </w:t>
      </w:r>
      <w:r>
        <w:t>e</w:t>
      </w:r>
      <w:r>
        <w:rPr>
          <w:spacing w:val="-2"/>
        </w:rPr>
        <w:t>q</w:t>
      </w:r>
      <w:r>
        <w:t>uipment,</w:t>
      </w:r>
      <w:r>
        <w:rPr>
          <w:spacing w:val="-8"/>
        </w:rPr>
        <w:t xml:space="preserve"> </w:t>
      </w:r>
      <w:r>
        <w:t>or</w:t>
      </w:r>
      <w:r>
        <w:rPr>
          <w:spacing w:val="-9"/>
        </w:rPr>
        <w:t xml:space="preserve"> </w:t>
      </w:r>
      <w:r>
        <w:t>uniforms</w:t>
      </w:r>
    </w:p>
    <w:p w14:paraId="4FF55878" w14:textId="77777777" w:rsidR="000E11BE" w:rsidRDefault="00815153">
      <w:pPr>
        <w:pStyle w:val="BodyText"/>
        <w:numPr>
          <w:ilvl w:val="1"/>
          <w:numId w:val="1"/>
        </w:numPr>
        <w:tabs>
          <w:tab w:val="left" w:pos="1919"/>
        </w:tabs>
        <w:ind w:left="1920" w:hanging="360"/>
      </w:pPr>
      <w:r>
        <w:t>band</w:t>
      </w:r>
      <w:r>
        <w:rPr>
          <w:spacing w:val="-14"/>
        </w:rPr>
        <w:t xml:space="preserve"> </w:t>
      </w:r>
      <w:r>
        <w:t>uniforms</w:t>
      </w:r>
    </w:p>
    <w:p w14:paraId="124FD7C7" w14:textId="77777777" w:rsidR="000E11BE" w:rsidRDefault="00815153">
      <w:pPr>
        <w:pStyle w:val="BodyText"/>
        <w:numPr>
          <w:ilvl w:val="1"/>
          <w:numId w:val="1"/>
        </w:numPr>
        <w:tabs>
          <w:tab w:val="left" w:pos="1919"/>
        </w:tabs>
        <w:ind w:left="1920" w:hanging="360"/>
      </w:pPr>
      <w:r>
        <w:t>cash</w:t>
      </w:r>
      <w:r>
        <w:rPr>
          <w:spacing w:val="-9"/>
        </w:rPr>
        <w:t xml:space="preserve"> </w:t>
      </w:r>
      <w:r>
        <w:t>incentives</w:t>
      </w:r>
      <w:r>
        <w:rPr>
          <w:spacing w:val="-8"/>
        </w:rPr>
        <w:t xml:space="preserve"> </w:t>
      </w:r>
      <w:r>
        <w:t>or</w:t>
      </w:r>
      <w:r>
        <w:rPr>
          <w:spacing w:val="-8"/>
        </w:rPr>
        <w:t xml:space="preserve"> </w:t>
      </w:r>
      <w:r>
        <w:t>stipends</w:t>
      </w:r>
    </w:p>
    <w:p w14:paraId="1C159B27" w14:textId="55CE6B0C" w:rsidR="000E11BE" w:rsidRDefault="00815153">
      <w:pPr>
        <w:pStyle w:val="BodyText"/>
        <w:numPr>
          <w:ilvl w:val="1"/>
          <w:numId w:val="1"/>
        </w:numPr>
        <w:tabs>
          <w:tab w:val="left" w:pos="1919"/>
        </w:tabs>
        <w:ind w:left="1920" w:hanging="360"/>
      </w:pPr>
      <w:r>
        <w:t>administrat</w:t>
      </w:r>
      <w:r>
        <w:rPr>
          <w:spacing w:val="-1"/>
        </w:rPr>
        <w:t>i</w:t>
      </w:r>
      <w:r>
        <w:t>ve</w:t>
      </w:r>
      <w:r w:rsidR="00E3101C">
        <w:t>/director</w:t>
      </w:r>
      <w:r>
        <w:rPr>
          <w:spacing w:val="-22"/>
        </w:rPr>
        <w:t xml:space="preserve"> </w:t>
      </w:r>
      <w:r>
        <w:t>salaries</w:t>
      </w:r>
    </w:p>
    <w:p w14:paraId="03EDE0F1" w14:textId="77777777" w:rsidR="000E11BE" w:rsidRDefault="000E11BE">
      <w:pPr>
        <w:spacing w:before="13" w:line="280" w:lineRule="exact"/>
        <w:rPr>
          <w:sz w:val="28"/>
          <w:szCs w:val="28"/>
        </w:rPr>
      </w:pPr>
    </w:p>
    <w:p w14:paraId="67A6D623" w14:textId="3A2C8A62" w:rsidR="00581BC0" w:rsidRDefault="00581BC0" w:rsidP="00581BC0">
      <w:pPr>
        <w:widowControl/>
        <w:shd w:val="clear" w:color="auto" w:fill="FFFFFF"/>
        <w:jc w:val="both"/>
        <w:rPr>
          <w:rFonts w:eastAsia="Times New Roman" w:cstheme="minorHAnsi"/>
          <w:color w:val="333333"/>
          <w:sz w:val="24"/>
          <w:szCs w:val="24"/>
        </w:rPr>
      </w:pPr>
      <w:r w:rsidRPr="00581BC0">
        <w:rPr>
          <w:rFonts w:eastAsia="Times New Roman" w:cstheme="minorHAnsi"/>
          <w:color w:val="333333"/>
          <w:sz w:val="24"/>
          <w:szCs w:val="24"/>
        </w:rPr>
        <w:t>To complete for funding, the application form is now available online by accessing the City's website at: </w:t>
      </w:r>
      <w:hyperlink r:id="rId8" w:tgtFrame="_blank" w:history="1">
        <w:r w:rsidRPr="00581BC0">
          <w:rPr>
            <w:rFonts w:eastAsia="Times New Roman" w:cstheme="minorHAnsi"/>
            <w:color w:val="0274E3"/>
            <w:sz w:val="24"/>
            <w:szCs w:val="24"/>
            <w:u w:val="single"/>
          </w:rPr>
          <w:t>https://portal.neighborlysoftware.com/LAKELANDFL/Participant.</w:t>
        </w:r>
      </w:hyperlink>
    </w:p>
    <w:p w14:paraId="59C59DCD" w14:textId="77777777" w:rsidR="00581BC0" w:rsidRPr="00581BC0" w:rsidRDefault="00581BC0" w:rsidP="00581BC0">
      <w:pPr>
        <w:widowControl/>
        <w:shd w:val="clear" w:color="auto" w:fill="FFFFFF"/>
        <w:jc w:val="both"/>
        <w:rPr>
          <w:rFonts w:eastAsia="Times New Roman" w:cstheme="minorHAnsi"/>
          <w:color w:val="333333"/>
          <w:sz w:val="24"/>
          <w:szCs w:val="24"/>
        </w:rPr>
      </w:pPr>
    </w:p>
    <w:p w14:paraId="0671F3A1" w14:textId="7371CCE8" w:rsidR="00581BC0" w:rsidRPr="00581BC0" w:rsidRDefault="00581BC0" w:rsidP="00581BC0">
      <w:pPr>
        <w:widowControl/>
        <w:shd w:val="clear" w:color="auto" w:fill="FFFFFF"/>
        <w:rPr>
          <w:rFonts w:eastAsia="Times New Roman" w:cstheme="minorHAnsi"/>
          <w:color w:val="333333"/>
          <w:sz w:val="24"/>
          <w:szCs w:val="24"/>
        </w:rPr>
      </w:pPr>
      <w:r w:rsidRPr="00581BC0">
        <w:rPr>
          <w:rFonts w:eastAsia="Times New Roman" w:cstheme="minorHAnsi"/>
          <w:b/>
          <w:bCs/>
          <w:color w:val="333333"/>
          <w:sz w:val="24"/>
          <w:szCs w:val="24"/>
        </w:rPr>
        <w:t>The deadline for submission is Friday, March 2</w:t>
      </w:r>
      <w:r w:rsidR="00C377D3">
        <w:rPr>
          <w:rFonts w:eastAsia="Times New Roman" w:cstheme="minorHAnsi"/>
          <w:b/>
          <w:bCs/>
          <w:color w:val="333333"/>
          <w:sz w:val="24"/>
          <w:szCs w:val="24"/>
        </w:rPr>
        <w:t>8</w:t>
      </w:r>
      <w:r w:rsidRPr="00581BC0">
        <w:rPr>
          <w:rFonts w:eastAsia="Times New Roman" w:cstheme="minorHAnsi"/>
          <w:b/>
          <w:bCs/>
          <w:color w:val="333333"/>
          <w:sz w:val="24"/>
          <w:szCs w:val="24"/>
        </w:rPr>
        <w:t>, 202</w:t>
      </w:r>
      <w:r w:rsidR="00C377D3">
        <w:rPr>
          <w:rFonts w:eastAsia="Times New Roman" w:cstheme="minorHAnsi"/>
          <w:b/>
          <w:bCs/>
          <w:color w:val="333333"/>
          <w:sz w:val="24"/>
          <w:szCs w:val="24"/>
        </w:rPr>
        <w:t>5</w:t>
      </w:r>
      <w:r w:rsidRPr="00581BC0">
        <w:rPr>
          <w:rFonts w:eastAsia="Times New Roman" w:cstheme="minorHAnsi"/>
          <w:b/>
          <w:bCs/>
          <w:color w:val="333333"/>
          <w:sz w:val="24"/>
          <w:szCs w:val="24"/>
        </w:rPr>
        <w:t>. The deadline will be strictly enforced.</w:t>
      </w:r>
      <w:r w:rsidRPr="00581BC0">
        <w:rPr>
          <w:rFonts w:eastAsia="Times New Roman" w:cstheme="minorHAnsi"/>
          <w:color w:val="333333"/>
          <w:sz w:val="24"/>
          <w:szCs w:val="24"/>
        </w:rPr>
        <w:br/>
        <w:t>The requests for funds will be reviewed by the City’s Affordable Housing Advisory Committee (AHAC) and a recommendation for funding will be prepared for City Commission approval. Your agency will be informed of the Committee’s recommendations for funding after the City Commission’s approval for both CDBG and General Fund grants</w:t>
      </w:r>
      <w:r w:rsidR="00E3101C">
        <w:rPr>
          <w:rFonts w:eastAsia="Times New Roman" w:cstheme="minorHAnsi"/>
          <w:color w:val="333333"/>
          <w:sz w:val="24"/>
          <w:szCs w:val="24"/>
        </w:rPr>
        <w:t xml:space="preserve"> before the plan year starts</w:t>
      </w:r>
      <w:r w:rsidRPr="00581BC0">
        <w:rPr>
          <w:rFonts w:eastAsia="Times New Roman" w:cstheme="minorHAnsi"/>
          <w:color w:val="333333"/>
          <w:sz w:val="24"/>
          <w:szCs w:val="24"/>
        </w:rPr>
        <w:t>. Please keep in mind that General Fund availability is dependent upon City Commission approval of the annual General Fund budget</w:t>
      </w:r>
      <w:r w:rsidR="00E3101C">
        <w:rPr>
          <w:rFonts w:eastAsia="Times New Roman" w:cstheme="minorHAnsi"/>
          <w:color w:val="333333"/>
          <w:sz w:val="24"/>
          <w:szCs w:val="24"/>
        </w:rPr>
        <w:t xml:space="preserve"> in September</w:t>
      </w:r>
      <w:r w:rsidRPr="00581BC0">
        <w:rPr>
          <w:rFonts w:eastAsia="Times New Roman" w:cstheme="minorHAnsi"/>
          <w:color w:val="333333"/>
          <w:sz w:val="24"/>
          <w:szCs w:val="24"/>
        </w:rPr>
        <w:t>.</w:t>
      </w:r>
      <w:r w:rsidRPr="00581BC0">
        <w:rPr>
          <w:rFonts w:eastAsia="Times New Roman" w:cstheme="minorHAnsi"/>
          <w:color w:val="333333"/>
          <w:sz w:val="24"/>
          <w:szCs w:val="24"/>
        </w:rPr>
        <w:br/>
      </w:r>
      <w:r w:rsidRPr="00581BC0">
        <w:rPr>
          <w:rFonts w:eastAsia="Times New Roman" w:cstheme="minorHAnsi"/>
          <w:color w:val="333333"/>
          <w:sz w:val="24"/>
          <w:szCs w:val="24"/>
        </w:rPr>
        <w:br/>
        <w:t>If you have any questions about the application or whether a proposed activity is eligible, please contact Adena Kniss at 863-834-3366</w:t>
      </w:r>
      <w:r w:rsidR="00DB004D">
        <w:rPr>
          <w:rFonts w:eastAsia="Times New Roman" w:cstheme="minorHAnsi"/>
          <w:color w:val="333333"/>
          <w:sz w:val="24"/>
          <w:szCs w:val="24"/>
        </w:rPr>
        <w:t xml:space="preserve"> or Michael Smith </w:t>
      </w:r>
      <w:r w:rsidR="00DB004D" w:rsidRPr="00581BC0">
        <w:rPr>
          <w:rFonts w:eastAsia="Times New Roman" w:cstheme="minorHAnsi"/>
          <w:color w:val="333333"/>
          <w:sz w:val="24"/>
          <w:szCs w:val="24"/>
        </w:rPr>
        <w:t>at 863-834-336</w:t>
      </w:r>
      <w:r w:rsidR="00DB004D">
        <w:rPr>
          <w:rFonts w:eastAsia="Times New Roman" w:cstheme="minorHAnsi"/>
          <w:color w:val="333333"/>
          <w:sz w:val="24"/>
          <w:szCs w:val="24"/>
        </w:rPr>
        <w:t>7.</w:t>
      </w:r>
    </w:p>
    <w:p w14:paraId="79DA4D7E" w14:textId="77777777" w:rsidR="00581BC0" w:rsidRDefault="00581BC0">
      <w:pPr>
        <w:pStyle w:val="BodyText"/>
        <w:spacing w:line="479" w:lineRule="auto"/>
        <w:ind w:right="6078"/>
        <w:rPr>
          <w:rFonts w:asciiTheme="minorHAnsi" w:hAnsiTheme="minorHAnsi" w:cstheme="minorHAnsi"/>
        </w:rPr>
      </w:pPr>
    </w:p>
    <w:p w14:paraId="51C5A60D" w14:textId="2A5AFB15" w:rsidR="000E11BE" w:rsidRDefault="000E11BE" w:rsidP="004550C6">
      <w:pPr>
        <w:tabs>
          <w:tab w:val="left" w:pos="0"/>
          <w:tab w:val="left" w:pos="3510"/>
          <w:tab w:val="left" w:pos="3780"/>
        </w:tabs>
        <w:ind w:left="3510" w:right="81" w:hanging="3599"/>
      </w:pPr>
    </w:p>
    <w:sectPr w:rsidR="000E11BE">
      <w:pgSz w:w="12240" w:h="15840"/>
      <w:pgMar w:top="2300" w:right="1600" w:bottom="280" w:left="1320" w:header="5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F55E" w14:textId="77777777" w:rsidR="009A391C" w:rsidRDefault="009A391C">
      <w:r>
        <w:separator/>
      </w:r>
    </w:p>
  </w:endnote>
  <w:endnote w:type="continuationSeparator" w:id="0">
    <w:p w14:paraId="402C62D8" w14:textId="77777777" w:rsidR="009A391C" w:rsidRDefault="009A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3F05" w14:textId="77777777" w:rsidR="009A391C" w:rsidRDefault="009A391C">
      <w:r>
        <w:separator/>
      </w:r>
    </w:p>
  </w:footnote>
  <w:footnote w:type="continuationSeparator" w:id="0">
    <w:p w14:paraId="63AF42A0" w14:textId="77777777" w:rsidR="009A391C" w:rsidRDefault="009A3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069D1" w14:textId="77777777" w:rsidR="00400D35" w:rsidRPr="008515E3" w:rsidRDefault="00400D35" w:rsidP="00400D35">
    <w:pPr>
      <w:pStyle w:val="Header"/>
    </w:pPr>
    <w:r>
      <w:rPr>
        <w:noProof/>
      </w:rPr>
      <w:drawing>
        <wp:inline distT="0" distB="0" distL="0" distR="0" wp14:anchorId="5B582C80" wp14:editId="4F4AE198">
          <wp:extent cx="3574795" cy="1367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582535" cy="1370558"/>
                  </a:xfrm>
                  <a:prstGeom prst="rect">
                    <a:avLst/>
                  </a:prstGeom>
                </pic:spPr>
              </pic:pic>
            </a:graphicData>
          </a:graphic>
        </wp:inline>
      </w:drawing>
    </w:r>
  </w:p>
  <w:p w14:paraId="4F365884" w14:textId="09D2C647" w:rsidR="000E11BE" w:rsidRPr="00400D35" w:rsidRDefault="000E11BE" w:rsidP="00400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2C6"/>
    <w:multiLevelType w:val="hybridMultilevel"/>
    <w:tmpl w:val="BC1CFEBE"/>
    <w:lvl w:ilvl="0" w:tplc="04090001">
      <w:start w:val="1"/>
      <w:numFmt w:val="bullet"/>
      <w:lvlText w:val=""/>
      <w:lvlJc w:val="left"/>
      <w:pPr>
        <w:ind w:hanging="361"/>
      </w:pPr>
      <w:rPr>
        <w:rFonts w:ascii="Symbol" w:hAnsi="Symbol" w:hint="default"/>
        <w:w w:val="79"/>
        <w:sz w:val="24"/>
        <w:szCs w:val="24"/>
      </w:rPr>
    </w:lvl>
    <w:lvl w:ilvl="1" w:tplc="C9E29662">
      <w:start w:val="1"/>
      <w:numFmt w:val="bullet"/>
      <w:lvlText w:val="-"/>
      <w:lvlJc w:val="left"/>
      <w:pPr>
        <w:ind w:hanging="361"/>
      </w:pPr>
      <w:rPr>
        <w:rFonts w:ascii="Arial" w:eastAsia="Arial" w:hAnsi="Arial" w:hint="default"/>
        <w:w w:val="99"/>
        <w:sz w:val="24"/>
        <w:szCs w:val="24"/>
      </w:rPr>
    </w:lvl>
    <w:lvl w:ilvl="2" w:tplc="B4D61860">
      <w:start w:val="1"/>
      <w:numFmt w:val="bullet"/>
      <w:lvlText w:val="•"/>
      <w:lvlJc w:val="left"/>
      <w:rPr>
        <w:rFonts w:hint="default"/>
      </w:rPr>
    </w:lvl>
    <w:lvl w:ilvl="3" w:tplc="7DDA9CDE">
      <w:start w:val="1"/>
      <w:numFmt w:val="bullet"/>
      <w:lvlText w:val="•"/>
      <w:lvlJc w:val="left"/>
      <w:rPr>
        <w:rFonts w:hint="default"/>
      </w:rPr>
    </w:lvl>
    <w:lvl w:ilvl="4" w:tplc="87A8C576">
      <w:start w:val="1"/>
      <w:numFmt w:val="bullet"/>
      <w:lvlText w:val="•"/>
      <w:lvlJc w:val="left"/>
      <w:rPr>
        <w:rFonts w:hint="default"/>
      </w:rPr>
    </w:lvl>
    <w:lvl w:ilvl="5" w:tplc="B19A1176">
      <w:start w:val="1"/>
      <w:numFmt w:val="bullet"/>
      <w:lvlText w:val="•"/>
      <w:lvlJc w:val="left"/>
      <w:rPr>
        <w:rFonts w:hint="default"/>
      </w:rPr>
    </w:lvl>
    <w:lvl w:ilvl="6" w:tplc="3566E24E">
      <w:start w:val="1"/>
      <w:numFmt w:val="bullet"/>
      <w:lvlText w:val="•"/>
      <w:lvlJc w:val="left"/>
      <w:rPr>
        <w:rFonts w:hint="default"/>
      </w:rPr>
    </w:lvl>
    <w:lvl w:ilvl="7" w:tplc="6688F180">
      <w:start w:val="1"/>
      <w:numFmt w:val="bullet"/>
      <w:lvlText w:val="•"/>
      <w:lvlJc w:val="left"/>
      <w:rPr>
        <w:rFonts w:hint="default"/>
      </w:rPr>
    </w:lvl>
    <w:lvl w:ilvl="8" w:tplc="4F5AC57C">
      <w:start w:val="1"/>
      <w:numFmt w:val="bullet"/>
      <w:lvlText w:val="•"/>
      <w:lvlJc w:val="left"/>
      <w:rPr>
        <w:rFonts w:hint="default"/>
      </w:rPr>
    </w:lvl>
  </w:abstractNum>
  <w:num w:numId="1" w16cid:durableId="45182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BE"/>
    <w:rsid w:val="000A5BB3"/>
    <w:rsid w:val="000E11BE"/>
    <w:rsid w:val="00151DCE"/>
    <w:rsid w:val="003024B1"/>
    <w:rsid w:val="00307014"/>
    <w:rsid w:val="00400D35"/>
    <w:rsid w:val="004550C6"/>
    <w:rsid w:val="004953F1"/>
    <w:rsid w:val="004A29FE"/>
    <w:rsid w:val="005000AF"/>
    <w:rsid w:val="00581BC0"/>
    <w:rsid w:val="00747E60"/>
    <w:rsid w:val="00754CC9"/>
    <w:rsid w:val="00814125"/>
    <w:rsid w:val="00815153"/>
    <w:rsid w:val="008E5CE4"/>
    <w:rsid w:val="00960439"/>
    <w:rsid w:val="009A391C"/>
    <w:rsid w:val="00A32773"/>
    <w:rsid w:val="00B04797"/>
    <w:rsid w:val="00B17E30"/>
    <w:rsid w:val="00B51C4B"/>
    <w:rsid w:val="00BA125A"/>
    <w:rsid w:val="00C105BE"/>
    <w:rsid w:val="00C377D3"/>
    <w:rsid w:val="00CC79C2"/>
    <w:rsid w:val="00DB004D"/>
    <w:rsid w:val="00E3101C"/>
    <w:rsid w:val="00F3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43FF1"/>
  <w15:docId w15:val="{E1388B7D-93E6-4413-AD69-58A1FE59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
      <w:outlineLvl w:val="0"/>
    </w:pPr>
    <w:rPr>
      <w:rFonts w:ascii="Calibri" w:eastAsia="Calibri" w:hAnsi="Calibri"/>
      <w:b/>
      <w:bCs/>
      <w:sz w:val="28"/>
      <w:szCs w:val="28"/>
    </w:rPr>
  </w:style>
  <w:style w:type="paragraph" w:styleId="Heading2">
    <w:name w:val="heading 2"/>
    <w:basedOn w:val="Normal"/>
    <w:uiPriority w:val="9"/>
    <w:unhideWhenUsed/>
    <w:qFormat/>
    <w:pPr>
      <w:ind w:left="2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014"/>
    <w:rPr>
      <w:color w:val="0000FF" w:themeColor="hyperlink"/>
      <w:u w:val="single"/>
    </w:rPr>
  </w:style>
  <w:style w:type="character" w:styleId="UnresolvedMention">
    <w:name w:val="Unresolved Mention"/>
    <w:basedOn w:val="DefaultParagraphFont"/>
    <w:uiPriority w:val="99"/>
    <w:semiHidden/>
    <w:unhideWhenUsed/>
    <w:rsid w:val="00307014"/>
    <w:rPr>
      <w:color w:val="605E5C"/>
      <w:shd w:val="clear" w:color="auto" w:fill="E1DFDD"/>
    </w:rPr>
  </w:style>
  <w:style w:type="paragraph" w:styleId="Header">
    <w:name w:val="header"/>
    <w:basedOn w:val="Normal"/>
    <w:link w:val="HeaderChar"/>
    <w:uiPriority w:val="99"/>
    <w:unhideWhenUsed/>
    <w:rsid w:val="00400D35"/>
    <w:pPr>
      <w:tabs>
        <w:tab w:val="center" w:pos="4680"/>
        <w:tab w:val="right" w:pos="9360"/>
      </w:tabs>
    </w:pPr>
  </w:style>
  <w:style w:type="character" w:customStyle="1" w:styleId="HeaderChar">
    <w:name w:val="Header Char"/>
    <w:basedOn w:val="DefaultParagraphFont"/>
    <w:link w:val="Header"/>
    <w:uiPriority w:val="99"/>
    <w:rsid w:val="00400D35"/>
  </w:style>
  <w:style w:type="paragraph" w:styleId="Footer">
    <w:name w:val="footer"/>
    <w:basedOn w:val="Normal"/>
    <w:link w:val="FooterChar"/>
    <w:uiPriority w:val="99"/>
    <w:unhideWhenUsed/>
    <w:rsid w:val="00400D35"/>
    <w:pPr>
      <w:tabs>
        <w:tab w:val="center" w:pos="4680"/>
        <w:tab w:val="right" w:pos="9360"/>
      </w:tabs>
    </w:pPr>
  </w:style>
  <w:style w:type="character" w:customStyle="1" w:styleId="FooterChar">
    <w:name w:val="Footer Char"/>
    <w:basedOn w:val="DefaultParagraphFont"/>
    <w:link w:val="Footer"/>
    <w:uiPriority w:val="99"/>
    <w:rsid w:val="00400D35"/>
  </w:style>
  <w:style w:type="character" w:styleId="FollowedHyperlink">
    <w:name w:val="FollowedHyperlink"/>
    <w:basedOn w:val="DefaultParagraphFont"/>
    <w:uiPriority w:val="99"/>
    <w:semiHidden/>
    <w:unhideWhenUsed/>
    <w:rsid w:val="00400D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6978">
      <w:bodyDiv w:val="1"/>
      <w:marLeft w:val="0"/>
      <w:marRight w:val="0"/>
      <w:marTop w:val="0"/>
      <w:marBottom w:val="0"/>
      <w:divBdr>
        <w:top w:val="none" w:sz="0" w:space="0" w:color="auto"/>
        <w:left w:val="none" w:sz="0" w:space="0" w:color="auto"/>
        <w:bottom w:val="none" w:sz="0" w:space="0" w:color="auto"/>
        <w:right w:val="none" w:sz="0" w:space="0" w:color="auto"/>
      </w:divBdr>
      <w:divsChild>
        <w:div w:id="183055891">
          <w:marLeft w:val="-225"/>
          <w:marRight w:val="-225"/>
          <w:marTop w:val="0"/>
          <w:marBottom w:val="0"/>
          <w:divBdr>
            <w:top w:val="none" w:sz="0" w:space="0" w:color="auto"/>
            <w:left w:val="none" w:sz="0" w:space="0" w:color="auto"/>
            <w:bottom w:val="none" w:sz="0" w:space="0" w:color="auto"/>
            <w:right w:val="none" w:sz="0" w:space="0" w:color="auto"/>
          </w:divBdr>
          <w:divsChild>
            <w:div w:id="1888448410">
              <w:marLeft w:val="0"/>
              <w:marRight w:val="0"/>
              <w:marTop w:val="0"/>
              <w:marBottom w:val="0"/>
              <w:divBdr>
                <w:top w:val="none" w:sz="0" w:space="0" w:color="auto"/>
                <w:left w:val="none" w:sz="0" w:space="0" w:color="auto"/>
                <w:bottom w:val="none" w:sz="0" w:space="0" w:color="auto"/>
                <w:right w:val="none" w:sz="0" w:space="0" w:color="auto"/>
              </w:divBdr>
              <w:divsChild>
                <w:div w:id="1986355670">
                  <w:marLeft w:val="0"/>
                  <w:marRight w:val="0"/>
                  <w:marTop w:val="0"/>
                  <w:marBottom w:val="0"/>
                  <w:divBdr>
                    <w:top w:val="none" w:sz="0" w:space="0" w:color="auto"/>
                    <w:left w:val="none" w:sz="0" w:space="0" w:color="auto"/>
                    <w:bottom w:val="none" w:sz="0" w:space="0" w:color="auto"/>
                    <w:right w:val="none" w:sz="0" w:space="0" w:color="auto"/>
                  </w:divBdr>
                  <w:divsChild>
                    <w:div w:id="1533691506">
                      <w:marLeft w:val="0"/>
                      <w:marRight w:val="0"/>
                      <w:marTop w:val="0"/>
                      <w:marBottom w:val="225"/>
                      <w:divBdr>
                        <w:top w:val="none" w:sz="0" w:space="0" w:color="auto"/>
                        <w:left w:val="none" w:sz="0" w:space="0" w:color="auto"/>
                        <w:bottom w:val="none" w:sz="0" w:space="0" w:color="auto"/>
                        <w:right w:val="none" w:sz="0" w:space="0" w:color="auto"/>
                      </w:divBdr>
                      <w:divsChild>
                        <w:div w:id="1921213743">
                          <w:marLeft w:val="0"/>
                          <w:marRight w:val="0"/>
                          <w:marTop w:val="0"/>
                          <w:marBottom w:val="0"/>
                          <w:divBdr>
                            <w:top w:val="none" w:sz="0" w:space="0" w:color="auto"/>
                            <w:left w:val="none" w:sz="0" w:space="0" w:color="auto"/>
                            <w:bottom w:val="none" w:sz="0" w:space="0" w:color="auto"/>
                            <w:right w:val="none" w:sz="0" w:space="0" w:color="auto"/>
                          </w:divBdr>
                        </w:div>
                      </w:divsChild>
                    </w:div>
                    <w:div w:id="162280181">
                      <w:marLeft w:val="0"/>
                      <w:marRight w:val="0"/>
                      <w:marTop w:val="0"/>
                      <w:marBottom w:val="225"/>
                      <w:divBdr>
                        <w:top w:val="none" w:sz="0" w:space="0" w:color="auto"/>
                        <w:left w:val="none" w:sz="0" w:space="0" w:color="auto"/>
                        <w:bottom w:val="none" w:sz="0" w:space="0" w:color="auto"/>
                        <w:right w:val="none" w:sz="0" w:space="0" w:color="auto"/>
                      </w:divBdr>
                      <w:divsChild>
                        <w:div w:id="7464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eighborlysoftware.com/LAKELANDFL/Participan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Public Service coverletter 2020-2021</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Public Service coverletter 2020-2021</dc:title>
  <dc:creator>aknis</dc:creator>
  <cp:lastModifiedBy>Kniss, Adena</cp:lastModifiedBy>
  <cp:revision>4</cp:revision>
  <cp:lastPrinted>2022-02-04T20:48:00Z</cp:lastPrinted>
  <dcterms:created xsi:type="dcterms:W3CDTF">2025-02-06T15:19:00Z</dcterms:created>
  <dcterms:modified xsi:type="dcterms:W3CDTF">2025-02-06T15:30:00Z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LastSaved">
    <vt:filetime>2020-03-31T00:00:00Z</vt:filetime>
  </property>
</Properties>
</file>